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BB" w:rsidRDefault="00D10BBB">
      <w:pPr>
        <w:widowControl/>
        <w:jc w:val="left"/>
        <w:rPr>
          <w:rFonts w:ascii="ＭＳ 明朝" w:eastAsia="ＭＳ 明朝" w:hAnsi="ＭＳ 明朝"/>
          <w:sz w:val="22"/>
        </w:rPr>
      </w:pP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E16F02">
        <w:rPr>
          <w:rFonts w:ascii="ＭＳ 明朝" w:eastAsia="ＭＳ 明朝" w:hAnsi="ＭＳ 明朝" w:hint="eastAsia"/>
          <w:sz w:val="22"/>
        </w:rPr>
        <w:t>郡山北工業高等学校</w:t>
      </w:r>
      <w:r w:rsidR="00892F43" w:rsidRPr="00892F43">
        <w:rPr>
          <w:rFonts w:ascii="ＭＳ 明朝" w:eastAsia="ＭＳ 明朝" w:hAnsi="ＭＳ 明朝" w:hint="eastAsia"/>
          <w:sz w:val="22"/>
        </w:rPr>
        <w:t>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924D5F" w:rsidP="00924D5F">
            <w:pPr>
              <w:jc w:val="center"/>
              <w:rPr>
                <w:rFonts w:ascii="ＭＳ 明朝" w:eastAsia="ＭＳ 明朝" w:hAnsi="ＭＳ 明朝"/>
                <w:sz w:val="22"/>
              </w:rPr>
            </w:pPr>
            <w:r>
              <w:rPr>
                <w:rFonts w:ascii="ＭＳ 明朝" w:eastAsia="ＭＳ 明朝" w:hAnsi="ＭＳ 明朝" w:hint="eastAsia"/>
                <w:sz w:val="22"/>
              </w:rPr>
              <w:t>一般廃棄物収集、運搬及び処理業務委託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E76FA7" w:rsidRPr="00E11F10" w:rsidRDefault="003B0D88" w:rsidP="00924D5F">
      <w:pPr>
        <w:widowControl/>
        <w:jc w:val="left"/>
        <w:rPr>
          <w:rFonts w:hAnsi="ＭＳ 明朝"/>
          <w:sz w:val="24"/>
          <w:szCs w:val="24"/>
        </w:rPr>
      </w:pPr>
      <w:r>
        <w:rPr>
          <w:rFonts w:ascii="ＭＳ 明朝" w:eastAsia="ＭＳ 明朝" w:hAnsi="ＭＳ 明朝"/>
          <w:sz w:val="22"/>
        </w:rPr>
        <w:br w:type="page"/>
      </w: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lastRenderedPageBreak/>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924D5F">
        <w:rPr>
          <w:rFonts w:hAnsi="ＭＳ 明朝" w:hint="eastAsia"/>
          <w:sz w:val="28"/>
          <w:szCs w:val="28"/>
        </w:rPr>
        <w:t>一般廃棄物収集、運搬及び処理業務委託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E16F02">
        <w:rPr>
          <w:rFonts w:hAnsi="ＭＳ 明朝" w:hint="eastAsia"/>
          <w:sz w:val="28"/>
          <w:szCs w:val="28"/>
        </w:rPr>
        <w:t>郡山北工業高等学校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E16F02">
        <w:rPr>
          <w:rFonts w:hAnsi="ＭＳ 明朝" w:hint="eastAsia"/>
          <w:sz w:val="28"/>
          <w:szCs w:val="28"/>
        </w:rPr>
        <w:t>６</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924D5F">
        <w:rPr>
          <w:rFonts w:hAnsi="ＭＳ 明朝" w:hint="eastAsia"/>
          <w:sz w:val="28"/>
          <w:szCs w:val="28"/>
        </w:rPr>
        <w:t>７</w:t>
      </w:r>
      <w:r>
        <w:rPr>
          <w:rFonts w:hAnsi="ＭＳ 明朝" w:hint="eastAsia"/>
          <w:sz w:val="28"/>
          <w:szCs w:val="28"/>
        </w:rPr>
        <w:t>年</w:t>
      </w:r>
      <w:r w:rsidR="00E16F02">
        <w:rPr>
          <w:rFonts w:hAnsi="ＭＳ 明朝" w:hint="eastAsia"/>
          <w:sz w:val="28"/>
          <w:szCs w:val="28"/>
        </w:rPr>
        <w:t>３</w:t>
      </w:r>
      <w:r>
        <w:rPr>
          <w:rFonts w:hAnsi="ＭＳ 明朝" w:hint="eastAsia"/>
          <w:sz w:val="28"/>
          <w:szCs w:val="28"/>
        </w:rPr>
        <w:t>月</w:t>
      </w:r>
      <w:r w:rsidR="00E16F02">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A63E46">
        <w:rPr>
          <w:rFonts w:hAnsi="ＭＳ 明朝" w:hint="eastAsia"/>
          <w:sz w:val="28"/>
          <w:szCs w:val="28"/>
        </w:rPr>
        <w:t>郡山北工業高等学校</w:t>
      </w:r>
      <w:r>
        <w:rPr>
          <w:rFonts w:hAnsi="ＭＳ 明朝" w:hint="eastAsia"/>
          <w:sz w:val="28"/>
          <w:szCs w:val="28"/>
        </w:rPr>
        <w:t xml:space="preserve">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B316CC" w:rsidRPr="00905633" w:rsidRDefault="00905633" w:rsidP="00905633">
      <w:pPr>
        <w:widowControl/>
        <w:jc w:val="center"/>
        <w:rPr>
          <w:rFonts w:ascii="ＭＳ 明朝" w:eastAsia="ＭＳ 明朝" w:hAnsi="ＭＳ 明朝"/>
          <w:sz w:val="36"/>
          <w:szCs w:val="36"/>
        </w:rPr>
      </w:pPr>
      <w:r w:rsidRPr="00905633">
        <w:rPr>
          <w:rFonts w:ascii="ＭＳ 明朝" w:eastAsia="ＭＳ 明朝" w:hAnsi="ＭＳ 明朝" w:hint="eastAsia"/>
          <w:sz w:val="36"/>
          <w:szCs w:val="36"/>
        </w:rPr>
        <w:lastRenderedPageBreak/>
        <w:t>見積内訳書</w:t>
      </w:r>
    </w:p>
    <w:p w:rsidR="00B316CC" w:rsidRDefault="00B316CC">
      <w:pPr>
        <w:widowControl/>
        <w:jc w:val="left"/>
        <w:rPr>
          <w:rFonts w:ascii="ＭＳ 明朝" w:eastAsia="ＭＳ 明朝" w:hAnsi="ＭＳ 明朝"/>
          <w:sz w:val="22"/>
        </w:rPr>
      </w:pPr>
    </w:p>
    <w:p w:rsidR="00A5445D" w:rsidRDefault="00A5445D">
      <w:pPr>
        <w:widowControl/>
        <w:jc w:val="left"/>
        <w:rPr>
          <w:rFonts w:ascii="ＭＳ 明朝" w:eastAsia="ＭＳ 明朝" w:hAnsi="ＭＳ 明朝" w:hint="eastAsia"/>
          <w:sz w:val="22"/>
        </w:rPr>
      </w:pPr>
    </w:p>
    <w:p w:rsidR="00B316CC" w:rsidRDefault="00B316CC">
      <w:pPr>
        <w:widowControl/>
        <w:jc w:val="left"/>
        <w:rPr>
          <w:rFonts w:ascii="ＭＳ 明朝" w:eastAsia="ＭＳ 明朝" w:hAnsi="ＭＳ 明朝"/>
          <w:sz w:val="22"/>
        </w:rPr>
      </w:pPr>
    </w:p>
    <w:tbl>
      <w:tblPr>
        <w:tblW w:w="0" w:type="auto"/>
        <w:tblInd w:w="-38" w:type="dxa"/>
        <w:tblLayout w:type="fixed"/>
        <w:tblCellMar>
          <w:left w:w="30" w:type="dxa"/>
          <w:right w:w="30" w:type="dxa"/>
        </w:tblCellMar>
        <w:tblLook w:val="0000" w:firstRow="0" w:lastRow="0" w:firstColumn="0" w:lastColumn="0" w:noHBand="0" w:noVBand="0"/>
      </w:tblPr>
      <w:tblGrid>
        <w:gridCol w:w="3252"/>
        <w:gridCol w:w="982"/>
        <w:gridCol w:w="2067"/>
        <w:gridCol w:w="2660"/>
      </w:tblGrid>
      <w:tr w:rsidR="00905633" w:rsidTr="00905633">
        <w:tblPrEx>
          <w:tblCellMar>
            <w:top w:w="0" w:type="dxa"/>
            <w:bottom w:w="0" w:type="dxa"/>
          </w:tblCellMar>
        </w:tblPrEx>
        <w:trPr>
          <w:trHeight w:val="538"/>
        </w:trPr>
        <w:tc>
          <w:tcPr>
            <w:tcW w:w="3252" w:type="dxa"/>
            <w:tcBorders>
              <w:top w:val="single" w:sz="6" w:space="0" w:color="auto"/>
              <w:left w:val="single" w:sz="6" w:space="0" w:color="auto"/>
              <w:bottom w:val="single" w:sz="6" w:space="0" w:color="auto"/>
              <w:right w:val="single" w:sz="6" w:space="0" w:color="auto"/>
            </w:tcBorders>
          </w:tcPr>
          <w:p w:rsidR="00905633" w:rsidRDefault="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品　　　名</w:t>
            </w:r>
          </w:p>
        </w:tc>
        <w:tc>
          <w:tcPr>
            <w:tcW w:w="982" w:type="dxa"/>
            <w:tcBorders>
              <w:top w:val="single" w:sz="6" w:space="0" w:color="auto"/>
              <w:left w:val="single" w:sz="6" w:space="0" w:color="auto"/>
              <w:bottom w:val="single" w:sz="6" w:space="0" w:color="auto"/>
              <w:right w:val="single" w:sz="6" w:space="0" w:color="auto"/>
            </w:tcBorders>
          </w:tcPr>
          <w:p w:rsidR="00905633" w:rsidRDefault="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数　量</w:t>
            </w:r>
          </w:p>
        </w:tc>
        <w:tc>
          <w:tcPr>
            <w:tcW w:w="2067" w:type="dxa"/>
            <w:tcBorders>
              <w:top w:val="single" w:sz="6" w:space="0" w:color="auto"/>
              <w:left w:val="single" w:sz="6" w:space="0" w:color="auto"/>
              <w:bottom w:val="single" w:sz="6" w:space="0" w:color="auto"/>
              <w:right w:val="single" w:sz="6" w:space="0" w:color="auto"/>
            </w:tcBorders>
          </w:tcPr>
          <w:p w:rsidR="00905633" w:rsidRDefault="00905633" w:rsidP="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単価</w:t>
            </w:r>
            <w:r>
              <w:rPr>
                <w:rFonts w:ascii="ＭＳ Ｐゴシック" w:eastAsia="ＭＳ Ｐゴシック" w:cs="ＭＳ Ｐゴシック" w:hint="eastAsia"/>
                <w:color w:val="000000"/>
                <w:kern w:val="0"/>
                <w:sz w:val="22"/>
              </w:rPr>
              <w:t>（税抜き）</w:t>
            </w:r>
          </w:p>
        </w:tc>
        <w:tc>
          <w:tcPr>
            <w:tcW w:w="2660" w:type="dxa"/>
            <w:tcBorders>
              <w:top w:val="single" w:sz="6" w:space="0" w:color="auto"/>
              <w:left w:val="single" w:sz="6" w:space="0" w:color="auto"/>
              <w:bottom w:val="single" w:sz="6" w:space="0" w:color="auto"/>
              <w:right w:val="single" w:sz="6" w:space="0" w:color="auto"/>
            </w:tcBorders>
          </w:tcPr>
          <w:p w:rsidR="00905633" w:rsidRDefault="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合　　　　　計</w:t>
            </w:r>
          </w:p>
        </w:tc>
      </w:tr>
      <w:tr w:rsidR="00905633" w:rsidTr="00905633">
        <w:tblPrEx>
          <w:tblCellMar>
            <w:top w:w="0" w:type="dxa"/>
            <w:bottom w:w="0" w:type="dxa"/>
          </w:tblCellMar>
        </w:tblPrEx>
        <w:trPr>
          <w:trHeight w:val="983"/>
        </w:trPr>
        <w:tc>
          <w:tcPr>
            <w:tcW w:w="3252" w:type="dxa"/>
            <w:tcBorders>
              <w:top w:val="single" w:sz="6" w:space="0" w:color="auto"/>
              <w:left w:val="single" w:sz="6" w:space="0" w:color="auto"/>
              <w:right w:val="single" w:sz="6" w:space="0" w:color="auto"/>
            </w:tcBorders>
          </w:tcPr>
          <w:p w:rsidR="00905633" w:rsidRDefault="00905633">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アームローダー</w:t>
            </w:r>
          </w:p>
          <w:p w:rsidR="00905633" w:rsidRDefault="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（可燃廃棄物専用　</w:t>
            </w:r>
            <w:r>
              <w:rPr>
                <w:rFonts w:ascii="ＭＳ Ｐゴシック" w:eastAsia="ＭＳ Ｐゴシック" w:cs="ＭＳ Ｐゴシック"/>
                <w:color w:val="000000"/>
                <w:kern w:val="0"/>
                <w:sz w:val="22"/>
              </w:rPr>
              <w:t>700kg)</w:t>
            </w:r>
          </w:p>
        </w:tc>
        <w:tc>
          <w:tcPr>
            <w:tcW w:w="982" w:type="dxa"/>
            <w:tcBorders>
              <w:top w:val="single" w:sz="6" w:space="0" w:color="auto"/>
              <w:left w:val="single" w:sz="6" w:space="0" w:color="auto"/>
              <w:right w:val="single" w:sz="6" w:space="0" w:color="auto"/>
            </w:tcBorders>
          </w:tcPr>
          <w:p w:rsidR="00905633" w:rsidRDefault="00905633">
            <w:pPr>
              <w:autoSpaceDE w:val="0"/>
              <w:autoSpaceDN w:val="0"/>
              <w:adjustRightInd w:val="0"/>
              <w:jc w:val="right"/>
              <w:rPr>
                <w:rFonts w:ascii="ＭＳ Ｐゴシック" w:eastAsia="ＭＳ Ｐゴシック" w:cs="ＭＳ Ｐゴシック"/>
                <w:color w:val="000000"/>
                <w:kern w:val="0"/>
                <w:sz w:val="22"/>
              </w:rPr>
            </w:pPr>
          </w:p>
          <w:p w:rsidR="00905633" w:rsidRDefault="00905633" w:rsidP="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２８</w:t>
            </w:r>
            <w:r>
              <w:rPr>
                <w:rFonts w:ascii="ＭＳ Ｐゴシック" w:eastAsia="ＭＳ Ｐゴシック" w:cs="ＭＳ Ｐゴシック" w:hint="eastAsia"/>
                <w:color w:val="000000"/>
                <w:kern w:val="0"/>
                <w:sz w:val="22"/>
              </w:rPr>
              <w:t>台</w:t>
            </w:r>
          </w:p>
        </w:tc>
        <w:tc>
          <w:tcPr>
            <w:tcW w:w="2067" w:type="dxa"/>
            <w:tcBorders>
              <w:top w:val="single" w:sz="6" w:space="0" w:color="auto"/>
              <w:left w:val="single" w:sz="6" w:space="0" w:color="auto"/>
              <w:right w:val="single" w:sz="6" w:space="0" w:color="auto"/>
            </w:tcBorders>
          </w:tcPr>
          <w:p w:rsidR="00905633" w:rsidRDefault="00905633" w:rsidP="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円</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w:t>
            </w:r>
          </w:p>
        </w:tc>
        <w:tc>
          <w:tcPr>
            <w:tcW w:w="2660" w:type="dxa"/>
            <w:tcBorders>
              <w:top w:val="single" w:sz="6" w:space="0" w:color="auto"/>
              <w:left w:val="single" w:sz="6" w:space="0" w:color="auto"/>
              <w:right w:val="single" w:sz="6" w:space="0" w:color="auto"/>
            </w:tcBorders>
          </w:tcPr>
          <w:p w:rsidR="00905633" w:rsidRDefault="00905633" w:rsidP="00B316CC">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p w:rsidR="00905633" w:rsidRDefault="00905633" w:rsidP="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円</w:t>
            </w:r>
          </w:p>
        </w:tc>
      </w:tr>
      <w:tr w:rsidR="00905633" w:rsidTr="00A5445D">
        <w:tblPrEx>
          <w:tblCellMar>
            <w:top w:w="0" w:type="dxa"/>
            <w:bottom w:w="0" w:type="dxa"/>
          </w:tblCellMar>
        </w:tblPrEx>
        <w:trPr>
          <w:trHeight w:val="971"/>
        </w:trPr>
        <w:tc>
          <w:tcPr>
            <w:tcW w:w="3252" w:type="dxa"/>
            <w:tcBorders>
              <w:top w:val="single" w:sz="6" w:space="0" w:color="auto"/>
              <w:left w:val="single" w:sz="6" w:space="0" w:color="auto"/>
              <w:bottom w:val="single" w:sz="6" w:space="0" w:color="auto"/>
              <w:right w:val="single" w:sz="6" w:space="0" w:color="auto"/>
            </w:tcBorders>
          </w:tcPr>
          <w:p w:rsidR="00905633" w:rsidRDefault="00905633">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グランドコーナー</w:t>
            </w:r>
          </w:p>
          <w:p w:rsidR="00905633" w:rsidRDefault="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（不可燃回収かご　</w:t>
            </w:r>
            <w:r>
              <w:rPr>
                <w:rFonts w:ascii="ＭＳ Ｐゴシック" w:eastAsia="ＭＳ Ｐゴシック" w:cs="ＭＳ Ｐゴシック"/>
                <w:color w:val="000000"/>
                <w:kern w:val="0"/>
                <w:sz w:val="22"/>
              </w:rPr>
              <w:t>120kg)</w:t>
            </w:r>
          </w:p>
        </w:tc>
        <w:tc>
          <w:tcPr>
            <w:tcW w:w="982" w:type="dxa"/>
            <w:tcBorders>
              <w:top w:val="single" w:sz="6" w:space="0" w:color="auto"/>
              <w:left w:val="single" w:sz="6" w:space="0" w:color="auto"/>
              <w:bottom w:val="single" w:sz="4" w:space="0" w:color="auto"/>
              <w:right w:val="single" w:sz="6" w:space="0" w:color="auto"/>
            </w:tcBorders>
          </w:tcPr>
          <w:p w:rsidR="00905633" w:rsidRDefault="00905633">
            <w:pPr>
              <w:autoSpaceDE w:val="0"/>
              <w:autoSpaceDN w:val="0"/>
              <w:adjustRightInd w:val="0"/>
              <w:jc w:val="center"/>
              <w:rPr>
                <w:rFonts w:ascii="ＭＳ Ｐゴシック" w:eastAsia="ＭＳ Ｐゴシック" w:cs="ＭＳ Ｐゴシック"/>
                <w:color w:val="000000"/>
                <w:kern w:val="0"/>
                <w:sz w:val="22"/>
              </w:rPr>
            </w:pPr>
          </w:p>
          <w:p w:rsidR="00905633" w:rsidRDefault="009056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２８</w:t>
            </w:r>
            <w:r>
              <w:rPr>
                <w:rFonts w:ascii="ＭＳ Ｐゴシック" w:eastAsia="ＭＳ Ｐゴシック" w:cs="ＭＳ Ｐゴシック" w:hint="eastAsia"/>
                <w:color w:val="000000"/>
                <w:kern w:val="0"/>
                <w:sz w:val="22"/>
              </w:rPr>
              <w:t>台</w:t>
            </w:r>
          </w:p>
        </w:tc>
        <w:tc>
          <w:tcPr>
            <w:tcW w:w="2067" w:type="dxa"/>
            <w:tcBorders>
              <w:top w:val="single" w:sz="6" w:space="0" w:color="auto"/>
              <w:left w:val="single" w:sz="6" w:space="0" w:color="auto"/>
              <w:bottom w:val="single" w:sz="4" w:space="0" w:color="auto"/>
              <w:right w:val="single" w:sz="6" w:space="0" w:color="auto"/>
            </w:tcBorders>
          </w:tcPr>
          <w:p w:rsidR="00905633" w:rsidRDefault="00905633" w:rsidP="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円</w:t>
            </w:r>
            <w:r>
              <w:rPr>
                <w:rFonts w:ascii="ＭＳ Ｐゴシック" w:eastAsia="ＭＳ Ｐゴシック" w:cs="ＭＳ Ｐゴシック"/>
                <w:color w:val="000000"/>
                <w:kern w:val="0"/>
                <w:sz w:val="22"/>
              </w:rPr>
              <w:t xml:space="preserve">                               </w:t>
            </w:r>
          </w:p>
        </w:tc>
        <w:tc>
          <w:tcPr>
            <w:tcW w:w="2660" w:type="dxa"/>
            <w:tcBorders>
              <w:top w:val="single" w:sz="6" w:space="0" w:color="auto"/>
              <w:left w:val="single" w:sz="6" w:space="0" w:color="auto"/>
              <w:bottom w:val="single" w:sz="4" w:space="0" w:color="auto"/>
              <w:right w:val="single" w:sz="6" w:space="0" w:color="auto"/>
            </w:tcBorders>
          </w:tcPr>
          <w:p w:rsidR="00905633" w:rsidRDefault="00905633" w:rsidP="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円</w:t>
            </w:r>
          </w:p>
        </w:tc>
      </w:tr>
      <w:tr w:rsidR="00A5445D" w:rsidTr="007F282F">
        <w:tblPrEx>
          <w:tblCellMar>
            <w:top w:w="0" w:type="dxa"/>
            <w:bottom w:w="0" w:type="dxa"/>
          </w:tblCellMar>
        </w:tblPrEx>
        <w:trPr>
          <w:trHeight w:val="1111"/>
        </w:trPr>
        <w:tc>
          <w:tcPr>
            <w:tcW w:w="3252" w:type="dxa"/>
            <w:tcBorders>
              <w:top w:val="single" w:sz="6" w:space="0" w:color="auto"/>
              <w:left w:val="single" w:sz="6" w:space="0" w:color="auto"/>
              <w:bottom w:val="single" w:sz="4" w:space="0" w:color="auto"/>
              <w:right w:val="single" w:sz="6" w:space="0" w:color="auto"/>
            </w:tcBorders>
          </w:tcPr>
          <w:p w:rsidR="00A5445D" w:rsidRDefault="00A5445D" w:rsidP="00A5445D">
            <w:pPr>
              <w:autoSpaceDE w:val="0"/>
              <w:autoSpaceDN w:val="0"/>
              <w:adjustRightInd w:val="0"/>
              <w:jc w:val="center"/>
              <w:rPr>
                <w:rFonts w:ascii="ＭＳ Ｐゴシック" w:eastAsia="ＭＳ Ｐゴシック" w:cs="ＭＳ Ｐゴシック"/>
                <w:color w:val="000000"/>
                <w:kern w:val="0"/>
                <w:sz w:val="22"/>
              </w:rPr>
            </w:pPr>
          </w:p>
          <w:p w:rsidR="00A5445D" w:rsidRDefault="00A5445D" w:rsidP="00A5445D">
            <w:pPr>
              <w:autoSpaceDE w:val="0"/>
              <w:autoSpaceDN w:val="0"/>
              <w:adjustRightInd w:val="0"/>
              <w:jc w:val="center"/>
              <w:rPr>
                <w:rFonts w:ascii="ＭＳ Ｐゴシック" w:eastAsia="ＭＳ Ｐゴシック" w:cs="ＭＳ Ｐゴシック" w:hint="eastAsia"/>
                <w:color w:val="000000"/>
                <w:kern w:val="0"/>
                <w:sz w:val="22"/>
              </w:rPr>
            </w:pPr>
            <w:r>
              <w:rPr>
                <w:rFonts w:ascii="ＭＳ Ｐゴシック" w:eastAsia="ＭＳ Ｐゴシック" w:cs="ＭＳ Ｐゴシック" w:hint="eastAsia"/>
                <w:color w:val="000000"/>
                <w:kern w:val="0"/>
                <w:sz w:val="22"/>
              </w:rPr>
              <w:t>見積額計</w:t>
            </w:r>
          </w:p>
        </w:tc>
        <w:tc>
          <w:tcPr>
            <w:tcW w:w="3049" w:type="dxa"/>
            <w:gridSpan w:val="2"/>
            <w:tcBorders>
              <w:top w:val="single" w:sz="4" w:space="0" w:color="auto"/>
              <w:left w:val="single" w:sz="6" w:space="0" w:color="auto"/>
              <w:bottom w:val="single" w:sz="4" w:space="0" w:color="auto"/>
              <w:right w:val="single" w:sz="6" w:space="0" w:color="auto"/>
            </w:tcBorders>
          </w:tcPr>
          <w:p w:rsidR="00A5445D" w:rsidRDefault="00A5445D" w:rsidP="0090563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1270</wp:posOffset>
                      </wp:positionV>
                      <wp:extent cx="1905000" cy="708660"/>
                      <wp:effectExtent l="0" t="0" r="19050" b="34290"/>
                      <wp:wrapNone/>
                      <wp:docPr id="2" name="直線コネクタ 2"/>
                      <wp:cNvGraphicFramePr/>
                      <a:graphic xmlns:a="http://schemas.openxmlformats.org/drawingml/2006/main">
                        <a:graphicData uri="http://schemas.microsoft.com/office/word/2010/wordprocessingShape">
                          <wps:wsp>
                            <wps:cNvCnPr/>
                            <wps:spPr>
                              <a:xfrm flipV="1">
                                <a:off x="0" y="0"/>
                                <a:ext cx="1905000" cy="708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AC637"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150.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z2gEAANIDAAAOAAAAZHJzL2Uyb0RvYy54bWysU0uOEzEQ3SNxB8t70k4kwtBKZxYzgg2C&#10;iN/e4y6nLfkn26Q727DmAnAIFiCx5DBZzDUou5MGARICsbG67Hqv6r2qXl0ORpMdhKicbeh8xigB&#10;K1yr7Lahr14+undBSUzctlw7Cw3dQ6SX67t3Vr2vYeE6p1sIBElsrHvf0C4lX1dVFB0YHmfOg8VH&#10;6YLhCcOwrdrAe2Q3ulowtqx6F1ofnIAY8fZ6fKTrwi8liPRMygiJ6IZib6mcoZw3+azWK15vA/ed&#10;Eqc2+D90YbiyWHSiuuaJkzdB/UJllAguOplmwpnKSakEFA2oZs5+UvOi4x6KFjQn+smm+P9oxdPd&#10;JhDVNnRBieUGR3T74fPtl/fHw6fj23fHw8fj4StZZJ96H2tMv7KbcIqi34QsepDBEKmVf40rUGxA&#10;YWQoLu8nl2FIRODl/CG7zxgOQ+DbA3axXJYxVCNP5vMhpsfgDMkfDdXKZhd4zXdPYsLamHpOwSD3&#10;NXZSvtJeQ07W9jlIVJYrFnTZKbjSgew4bgMXAmyaZ2XIV7IzTCqtJyD7M/CUn6FQ9u1vwBOiVHY2&#10;TWCjrAu/q56Gc8tyzD87MOrOFty4dl9mVKzBxSkKT0ueN/PHuMC//4rrbwAAAP//AwBQSwMEFAAG&#10;AAgAAAAhAFmqVyraAAAABQEAAA8AAABkcnMvZG93bnJldi54bWxMjkFLw0AQhe+C/2EZwYu0m0SQ&#10;GrMpIuqhnloV6m2SHZPQ7GzIbtP47x1P9vh4H+99xXp2vZpoDJ1nA+kyAUVce9txY+Dj/WWxAhUi&#10;ssXeMxn4oQDr8vKiwNz6E29p2sVGyQiHHA20MQ651qFuyWFY+oFYum8/OowSx0bbEU8y7nqdJcmd&#10;dtixPLQ40FNL9WF3dAa+gg/Pn5tqej1sNzPevMVsX1tjrq/mxwdQkeb4D8OfvqhDKU6VP7INqjdw&#10;L5yBDJR0t0kisRIoTVegy0Kf25e/AAAA//8DAFBLAQItABQABgAIAAAAIQC2gziS/gAAAOEBAAAT&#10;AAAAAAAAAAAAAAAAAAAAAABbQ29udGVudF9UeXBlc10ueG1sUEsBAi0AFAAGAAgAAAAhADj9If/W&#10;AAAAlAEAAAsAAAAAAAAAAAAAAAAALwEAAF9yZWxzLy5yZWxzUEsBAi0AFAAGAAgAAAAhAA7d67Pa&#10;AQAA0gMAAA4AAAAAAAAAAAAAAAAALgIAAGRycy9lMm9Eb2MueG1sUEsBAi0AFAAGAAgAAAAhAFmq&#10;VyraAAAABQEAAA8AAAAAAAAAAAAAAAAANAQAAGRycy9kb3ducmV2LnhtbFBLBQYAAAAABAAEAPMA&#10;AAA7BQAAAAA=&#10;" strokecolor="#5b9bd5 [3204]" strokeweight=".5pt">
                      <v:stroke joinstyle="miter"/>
                    </v:line>
                  </w:pict>
                </mc:Fallback>
              </mc:AlternateContent>
            </w:r>
          </w:p>
        </w:tc>
        <w:tc>
          <w:tcPr>
            <w:tcW w:w="2660" w:type="dxa"/>
            <w:tcBorders>
              <w:top w:val="single" w:sz="4" w:space="0" w:color="auto"/>
              <w:left w:val="single" w:sz="6" w:space="0" w:color="auto"/>
              <w:bottom w:val="single" w:sz="4" w:space="0" w:color="auto"/>
              <w:right w:val="single" w:sz="6" w:space="0" w:color="auto"/>
            </w:tcBorders>
          </w:tcPr>
          <w:p w:rsidR="00A5445D" w:rsidRDefault="00A5445D" w:rsidP="00905633">
            <w:pPr>
              <w:autoSpaceDE w:val="0"/>
              <w:autoSpaceDN w:val="0"/>
              <w:adjustRightInd w:val="0"/>
              <w:jc w:val="right"/>
              <w:rPr>
                <w:rFonts w:ascii="ＭＳ Ｐゴシック" w:eastAsia="ＭＳ Ｐゴシック" w:cs="ＭＳ Ｐゴシック"/>
                <w:color w:val="000000"/>
                <w:kern w:val="0"/>
                <w:sz w:val="22"/>
              </w:rPr>
            </w:pPr>
          </w:p>
          <w:p w:rsidR="00A5445D" w:rsidRDefault="00A5445D" w:rsidP="00905633">
            <w:pPr>
              <w:autoSpaceDE w:val="0"/>
              <w:autoSpaceDN w:val="0"/>
              <w:adjustRightInd w:val="0"/>
              <w:jc w:val="right"/>
              <w:rPr>
                <w:rFonts w:ascii="ＭＳ Ｐゴシック" w:eastAsia="ＭＳ Ｐゴシック" w:cs="ＭＳ Ｐゴシック" w:hint="eastAsia"/>
                <w:color w:val="000000"/>
                <w:kern w:val="0"/>
                <w:sz w:val="22"/>
              </w:rPr>
            </w:pPr>
            <w:r>
              <w:rPr>
                <w:rFonts w:ascii="ＭＳ Ｐゴシック" w:eastAsia="ＭＳ Ｐゴシック" w:cs="ＭＳ Ｐゴシック" w:hint="eastAsia"/>
                <w:color w:val="000000"/>
                <w:kern w:val="0"/>
                <w:sz w:val="22"/>
              </w:rPr>
              <w:t xml:space="preserve">　　円</w:t>
            </w:r>
          </w:p>
        </w:tc>
      </w:tr>
    </w:tbl>
    <w:p w:rsidR="00B316CC" w:rsidRDefault="00B316CC">
      <w:pPr>
        <w:widowControl/>
        <w:jc w:val="left"/>
        <w:rPr>
          <w:rFonts w:ascii="ＭＳ 明朝" w:eastAsia="ＭＳ 明朝" w:hAnsi="ＭＳ 明朝"/>
          <w:sz w:val="22"/>
        </w:rPr>
      </w:pPr>
    </w:p>
    <w:p w:rsidR="00086BDB" w:rsidRDefault="00086BDB" w:rsidP="00086BDB">
      <w:pPr>
        <w:suppressAutoHyphens/>
        <w:wordWrap w:val="0"/>
        <w:autoSpaceDE w:val="0"/>
        <w:autoSpaceDN w:val="0"/>
        <w:spacing w:line="349" w:lineRule="exact"/>
        <w:jc w:val="left"/>
        <w:rPr>
          <w:rFonts w:hAnsi="ＭＳ 明朝"/>
          <w:sz w:val="24"/>
          <w:szCs w:val="24"/>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A5445D" w:rsidRDefault="00A5445D" w:rsidP="00B41307">
      <w:pPr>
        <w:suppressAutoHyphens/>
        <w:wordWrap w:val="0"/>
        <w:autoSpaceDE w:val="0"/>
        <w:autoSpaceDN w:val="0"/>
        <w:spacing w:line="349" w:lineRule="exact"/>
        <w:jc w:val="center"/>
        <w:rPr>
          <w:rFonts w:hAnsi="ＭＳ 明朝"/>
          <w:sz w:val="36"/>
          <w:szCs w:val="36"/>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bookmarkStart w:id="0" w:name="_GoBack"/>
      <w:bookmarkEnd w:id="0"/>
      <w:r w:rsidRPr="00B41307">
        <w:rPr>
          <w:rFonts w:hAnsi="ＭＳ 明朝" w:hint="eastAsia"/>
          <w:sz w:val="36"/>
          <w:szCs w:val="36"/>
        </w:rPr>
        <w:lastRenderedPageBreak/>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E16F02">
        <w:rPr>
          <w:rFonts w:hAnsi="ＭＳ 明朝" w:hint="eastAsia"/>
          <w:sz w:val="28"/>
          <w:szCs w:val="28"/>
        </w:rPr>
        <w:t>郡山北工業高等学校</w:t>
      </w:r>
      <w:r w:rsidR="00B41307">
        <w:rPr>
          <w:rFonts w:hAnsi="ＭＳ 明朝" w:hint="eastAsia"/>
          <w:sz w:val="28"/>
          <w:szCs w:val="28"/>
        </w:rPr>
        <w:t>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E16F02">
        <w:rPr>
          <w:rFonts w:hAnsi="ＭＳ 明朝" w:hint="eastAsia"/>
          <w:sz w:val="28"/>
          <w:szCs w:val="28"/>
        </w:rPr>
        <w:t>６</w:t>
      </w:r>
      <w:r>
        <w:rPr>
          <w:rFonts w:hAnsi="ＭＳ 明朝" w:hint="eastAsia"/>
          <w:sz w:val="28"/>
          <w:szCs w:val="28"/>
        </w:rPr>
        <w:t>年</w:t>
      </w:r>
      <w:r w:rsidR="00E16F02">
        <w:rPr>
          <w:rFonts w:hAnsi="ＭＳ 明朝" w:hint="eastAsia"/>
          <w:sz w:val="28"/>
          <w:szCs w:val="28"/>
        </w:rPr>
        <w:t>３</w:t>
      </w:r>
      <w:r>
        <w:rPr>
          <w:rFonts w:hAnsi="ＭＳ 明朝" w:hint="eastAsia"/>
          <w:sz w:val="28"/>
          <w:szCs w:val="28"/>
        </w:rPr>
        <w:t>月</w:t>
      </w:r>
      <w:r w:rsidR="00E16F02">
        <w:rPr>
          <w:rFonts w:hAnsi="ＭＳ 明朝" w:hint="eastAsia"/>
          <w:sz w:val="28"/>
          <w:szCs w:val="28"/>
        </w:rPr>
        <w:t>２</w:t>
      </w:r>
      <w:r w:rsidR="00A63E46">
        <w:rPr>
          <w:rFonts w:hAnsi="ＭＳ 明朝" w:hint="eastAsia"/>
          <w:sz w:val="28"/>
          <w:szCs w:val="28"/>
        </w:rPr>
        <w:t>５</w:t>
      </w:r>
      <w:r>
        <w:rPr>
          <w:rFonts w:hAnsi="ＭＳ 明朝" w:hint="eastAsia"/>
          <w:sz w:val="28"/>
          <w:szCs w:val="28"/>
        </w:rPr>
        <w:t>日に執行される「</w:t>
      </w:r>
      <w:r w:rsidR="00924D5F">
        <w:rPr>
          <w:rFonts w:hAnsi="ＭＳ 明朝" w:hint="eastAsia"/>
          <w:sz w:val="28"/>
          <w:szCs w:val="28"/>
        </w:rPr>
        <w:t>一般廃棄物収集、運搬及び処理業務委託</w:t>
      </w:r>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E16F02">
        <w:rPr>
          <w:rFonts w:hAnsi="ＭＳ 明朝" w:hint="eastAsia"/>
          <w:sz w:val="28"/>
          <w:szCs w:val="28"/>
        </w:rPr>
        <w:t>郡山北工業高等学校</w:t>
      </w:r>
      <w:r>
        <w:rPr>
          <w:rFonts w:hAnsi="ＭＳ 明朝" w:hint="eastAsia"/>
          <w:sz w:val="28"/>
          <w:szCs w:val="28"/>
        </w:rPr>
        <w:t>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A" w:rsidRDefault="00706FFA" w:rsidP="00892F43">
      <w:r>
        <w:separator/>
      </w:r>
    </w:p>
  </w:endnote>
  <w:endnote w:type="continuationSeparator" w:id="0">
    <w:p w:rsidR="00706FFA" w:rsidRDefault="00706FFA"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A5445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A" w:rsidRDefault="00706FFA" w:rsidP="00892F43">
      <w:r>
        <w:separator/>
      </w:r>
    </w:p>
  </w:footnote>
  <w:footnote w:type="continuationSeparator" w:id="0">
    <w:p w:rsidR="00706FFA" w:rsidRDefault="00706FFA"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2F5642"/>
    <w:rsid w:val="003223E4"/>
    <w:rsid w:val="0037095C"/>
    <w:rsid w:val="003B0D88"/>
    <w:rsid w:val="003C6A52"/>
    <w:rsid w:val="003C6E7D"/>
    <w:rsid w:val="003E32FE"/>
    <w:rsid w:val="003E6F08"/>
    <w:rsid w:val="004001DE"/>
    <w:rsid w:val="00411970"/>
    <w:rsid w:val="00420F58"/>
    <w:rsid w:val="00424EDB"/>
    <w:rsid w:val="00431D6E"/>
    <w:rsid w:val="004450C9"/>
    <w:rsid w:val="004478E7"/>
    <w:rsid w:val="00466779"/>
    <w:rsid w:val="004836D2"/>
    <w:rsid w:val="004A4C6F"/>
    <w:rsid w:val="00510D0F"/>
    <w:rsid w:val="00513214"/>
    <w:rsid w:val="00531A79"/>
    <w:rsid w:val="00565E8C"/>
    <w:rsid w:val="005A5517"/>
    <w:rsid w:val="005E22AE"/>
    <w:rsid w:val="005E650F"/>
    <w:rsid w:val="0063318D"/>
    <w:rsid w:val="00662E13"/>
    <w:rsid w:val="00672E5E"/>
    <w:rsid w:val="00706FFA"/>
    <w:rsid w:val="007847B4"/>
    <w:rsid w:val="007C12D4"/>
    <w:rsid w:val="007D6A81"/>
    <w:rsid w:val="007D6B4E"/>
    <w:rsid w:val="0080518E"/>
    <w:rsid w:val="008127BD"/>
    <w:rsid w:val="00832F5E"/>
    <w:rsid w:val="008444C2"/>
    <w:rsid w:val="00861053"/>
    <w:rsid w:val="008732A7"/>
    <w:rsid w:val="00877CAB"/>
    <w:rsid w:val="00892F43"/>
    <w:rsid w:val="00897FA4"/>
    <w:rsid w:val="008B33B4"/>
    <w:rsid w:val="008B65F1"/>
    <w:rsid w:val="008E26D1"/>
    <w:rsid w:val="00905633"/>
    <w:rsid w:val="009057C3"/>
    <w:rsid w:val="00924D5F"/>
    <w:rsid w:val="00932FFD"/>
    <w:rsid w:val="009376C2"/>
    <w:rsid w:val="00954F74"/>
    <w:rsid w:val="009624B2"/>
    <w:rsid w:val="00966351"/>
    <w:rsid w:val="00993DAF"/>
    <w:rsid w:val="009C5334"/>
    <w:rsid w:val="009D2FAA"/>
    <w:rsid w:val="009E1481"/>
    <w:rsid w:val="00A261C7"/>
    <w:rsid w:val="00A513BA"/>
    <w:rsid w:val="00A52B07"/>
    <w:rsid w:val="00A5445D"/>
    <w:rsid w:val="00A63E46"/>
    <w:rsid w:val="00B16AC5"/>
    <w:rsid w:val="00B274AE"/>
    <w:rsid w:val="00B276F4"/>
    <w:rsid w:val="00B316CC"/>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16F02"/>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49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9B6A-12E9-4E5C-94F9-571EADE0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2024-03-04T06:46:00Z</dcterms:created>
  <dcterms:modified xsi:type="dcterms:W3CDTF">2024-03-08T05:32:00Z</dcterms:modified>
</cp:coreProperties>
</file>